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2016/49 vom 29. März 2018</w:t>
      </w:r>
    </w:p>
    <w:p>
      <w:r>
        <w:t>Sg Versicherungsgericht, 2018-03-29, DE</w:t>
      </w:r>
    </w:p>
    <w:p>
      <w:r>
        <w:rPr>
          <w:b/>
        </w:rPr>
        <w:t xml:space="preserve">Quelle: </w:t>
      </w:r>
      <w:r>
        <w:t>https://mcp.opencaselaw.ch/entscheid/sg_publikationen_UV 2016_49</w:t>
      </w:r>
    </w:p>
    <w:p>
      <w:r>
        <w:t>FR: SG_VERSICHERUNGSGERICHT UV 2016/49 du 29 mars 2018</w:t>
      </w:r>
    </w:p>
    <w:p>
      <w:r>
        <w:t>IT: SG_VERSICHERUNGSGERICHT UV 2016/49 del 29 marzo 2018</w:t>
      </w:r>
    </w:p>
    <w:p>
      <w:pPr>
        <w:pStyle w:val="Heading2"/>
      </w:pPr>
      <w:r>
        <w:t>Regeste</w:t>
      </w:r>
    </w:p>
    <w:p>
      <w:r>
        <w:t>Art. 6 UVG. Art. 10 UVG. Art. 16 UVG. Rückweisung für weitere medizinische Abklärungen, da Zweifel an den sich widersprechenden ärztlichen Einschätzungen bestehen (Entscheid des Versicherungsgerichts des Kantons St. Gallen vom 29. März 2018, UV 2016/49).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2014 zur Debatte steht, die bis 31. Dezember 2016 gültigen Bestimmungen Anwendung.</w:t>
      </w:r>
    </w:p>
    <w:p>
      <w:r>
        <w:rPr>
          <w:b/>
        </w:rPr>
        <w:t>E. 2</w:t>
      </w:r>
    </w:p>
    <w:p>
      <w:r>
        <w:t>2.1  Nach Art. 6 Abs. 1 UVG werden Leistungen der Unfallversicherung bei Berufsunfällen, Nichtberufsunfällen und Berufskrankheiten gewährt. Die versicherte Person hat Anspruch auf die zweckmässige Behandlung von Unfallfolgen (Art. 10 UVG) sowie auf ein Taggeld, wenn sie infolge eines Unfalls voll oder teilweise arbeitsunfähig (im Sinn des Art. 6 des Bundesgesetzes über den Allgemeinen Teil des Sozialversicherungsrechts [ATSG; SR 830.1]) ist.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 2.4  Wenn der Unfallversicherer den natürlichen und adäquaten Kausalzusammenhang zwischen dem Unfall und einer Gesundheitsschädigung einmal anerkannt hat und entsprechende Leistungen erbringt, entfällt dessen Leistungspflicht erst,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Der Unfallversicherer hat jedoch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U 29/03, E. 3.1).</w:t>
      </w:r>
    </w:p>
    <w:p>
      <w:r>
        <w:rPr>
          <w:b/>
        </w:rPr>
        <w:t>E. 3</w:t>
      </w:r>
    </w:p>
    <w:p>
      <w:r>
        <w:t>3.1  Streitig ist, ob die Leistungen, welche von der Beschwerdegegnerin im Sinne des UVG im Anschluss an das Unfallereignis vom 10. Mai 2014 ausgerichtet wurden, auf den 31. Oktober 2014 eingestellt werden durften. 3.2  Der Sozialversicherungsprozess ist vom Untersuchungsgrundsatz beherrscht. Der Unfallversicherer und im Streitfall das Gericht haben den Sachverhalt von Amtes wegen zu ermitteln, bzw. die notwendigen Beweise zu erheben. Indessen ist die leistungsansprechende Person gesetzlich verpflichtet, dabei mitzuwirken (BGE 125 V 195 E. 2, 122 V 158 E. 1a, je mit Hinweisen; vgl. auch BGE 130 I 183 f. E. 3.2). Sie muss die Umstände des Unfalls glaubhaft machen. Unvollständige, ungenaue oder widersprüchliche Angaben genügen diesem Erfordernis nicht (RKUV 1990 NR. U 86 S. 50; ALEXANDRA RUMO-JUNGO/ANDRÉ PIERRE HOLZER, Rechtsprechung des Bundesgerichts zum Sozialversicherungsrecht, Bundesgesetz über die Unfallversicherung, 4. Aufl. Zürich/Basel/Genf 2012, S. 29). Der Untersuchungsgrundsatz schliesst die Beweislast im Sinn der Beweisführungslast begriffsnotwendig aus. Die Parteien tragen aber eine Beweislast insofern, als im Fall der Beweislosigkeit der Entscheid zu Ungunsten jener Partei ausfällt, die aus dem unbewiesen gebliebenen Sachverhalt Rechte ableiten wollte. Da vorliegend die Leistungseinstellung streitig ist, trägt die Beschwerdegegnerin die Beweislast. Die genannte Beweisregel kommt zur Anwendung, wenn im Rahmen des Untersuchungsgrundsatzes kein wahrscheinlicher Sachverhalt ermittelt werden kann. Im Sozialversicherungsrecht besteht kein Grundsatz, wonach die Verwaltung oder das Gericht im Zweifel zugunsten der versicherten Person entscheiden müsse (BGE 121 V 47 E. 2a mit Hinweisen; BGE 126 V 319 E. 5a; Urteil des Bundesgerichts 8C_709/2010 vom 31. Januar 2011 E. 2.2; RUMO-JUNGO/ HOLZER, a.a.O., S. 4, 29 f.; THOMAS LOCHER/THOMAS GÄCHTER, Grundriss des Sozialversicherungsrechts, 4. Aufl. Bern 2014, § 70 N. 56 f.). 3.3  In seiner Beurteilung vom 25. Mai 2015 hat Dr. D.___ als Vertrauensarzt der Beschwerdegegnerin zum Gesundheitszustand der Beschwerdeführerin Stellung genommen. Dabei hat es sich um eine reine Aktenbeurteilung gehandelt. In seiner Beurteilung hat er sich sodann im Wesentlichen lediglich auf die Richtlinien der Deutschen Gesellschaft für Neurologie, wonach bei einem HWS-Distorsionstrauma mit einem Kraftgrad Quebec Task Force bzw. Erdmann II eine vollständige Abheilung innert weniger Monate erwartet werden dürfe, gestützt und festgehalten, dass, wenn Beschwerden persistieren würden, diese in der Regel keine unfallkausale Ursache mehr hätten. Ebenfalls hat Dr. D.___ auf den letzten DGN-Neurologenkongress in München verwiesen, wo die Frist, bis wann von einem Status quo sine auszugehen sei, auf maximal sechs Monate beziffert worden sei. Die Einschätzung von Dr. D.___ ist – wie erwähnt – ohne persönliche Untersuchung der Beschwerdeführerin erfolgt. 3.4  Dr. G.___ hat in seinem Gutachten vom 9. Oktober 2015 festgehalten, dass die anlässlich des Unfalles vom 10. Mai 2014 erlittene einfache Distorsion der Wirbelsäule höchstens einem Schleudertrauma Grad I/II nach Spitzer entspreche. Gemäss der täglichen Erfahrung und der Literatur würden solche unkomplizierten Fälle nach wenigen Wochen, resp. Monaten folgenlos abheilen. Hierzu ist zu bemerken, dass es sich dabei ebenfalls um ein reines Aktengutachten handelt, das nicht auf eigenen Untersuchungen der Beschwerdeführerin beruht, sondern einzig gestützt auf die medizinische Befundlage gemäss den vorliegenden Unterlagen sowie den in der Literatur wiedergegebenen Gesundheitsverläufen und den Erfahrungen von Dr. G.___ erging. Ebenfalls zu berücksichtigen ist, dass Dr. G.___ kein Facharzt der Neurologie, sondern ein Chirurg ist und dass er gemäss Internetauftritt der Klinik J.___ insbesondere im Bereich der Schönheitschirurgie tätig ist. Aus dem Profil von Dr. G.___ sind damit keine fundierten beruflichen Erfahrungen mit Schleudertrauma-Patienten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